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395" w:rsidRDefault="00C67395" w:rsidP="00C67395">
      <w:pPr>
        <w:shd w:val="clear" w:color="auto" w:fill="FFFFFF"/>
        <w:spacing w:before="100" w:beforeAutospacing="1" w:after="0" w:line="288" w:lineRule="atLeast"/>
        <w:jc w:val="center"/>
        <w:outlineLvl w:val="2"/>
        <w:rPr>
          <w:rFonts w:ascii="Times New Roman" w:eastAsia="Times New Roman" w:hAnsi="Times New Roman" w:cs="Times New Roman"/>
          <w:b/>
          <w:color w:val="05253D"/>
          <w:sz w:val="29"/>
          <w:szCs w:val="29"/>
        </w:rPr>
      </w:pPr>
      <w:r w:rsidRPr="00C67395">
        <w:rPr>
          <w:rFonts w:ascii="Times New Roman" w:eastAsia="Times New Roman" w:hAnsi="Times New Roman" w:cs="Times New Roman"/>
          <w:b/>
          <w:color w:val="05253D"/>
          <w:sz w:val="29"/>
          <w:szCs w:val="29"/>
        </w:rPr>
        <w:t>ПІДРУЧНИКИ З ГРИФОМ МОН</w:t>
      </w:r>
    </w:p>
    <w:p w:rsidR="00C67395" w:rsidRPr="00C67395" w:rsidRDefault="00C67395" w:rsidP="00C67395">
      <w:pPr>
        <w:shd w:val="clear" w:color="auto" w:fill="FFFFFF"/>
        <w:spacing w:before="100" w:beforeAutospacing="1" w:after="0" w:line="288" w:lineRule="atLeast"/>
        <w:jc w:val="center"/>
        <w:outlineLvl w:val="2"/>
        <w:rPr>
          <w:rFonts w:ascii="Times New Roman" w:eastAsia="Times New Roman" w:hAnsi="Times New Roman" w:cs="Times New Roman"/>
          <w:b/>
          <w:color w:val="05253D"/>
          <w:sz w:val="29"/>
          <w:szCs w:val="29"/>
        </w:rPr>
      </w:pPr>
    </w:p>
    <w:p w:rsidR="00C67395" w:rsidRPr="00C67395" w:rsidRDefault="00C67395" w:rsidP="00C673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7395">
        <w:rPr>
          <w:rFonts w:ascii="Times New Roman" w:hAnsi="Times New Roman" w:cs="Times New Roman"/>
          <w:sz w:val="28"/>
          <w:szCs w:val="28"/>
        </w:rPr>
        <w:t>Підручники та навчальні посібники з грифом Міністерства освіти і науки - гарантія їх відповідності сучасним педагогічним технологіям і вимогам до навчальної книги. Така наукова література оригінальна, з високим науково-методичним рівнем. Підручники з грифом Міністерства освіти і науки України рекомендовані для використання у вищих навчальних закладах.</w:t>
      </w:r>
    </w:p>
    <w:p w:rsidR="00C67395" w:rsidRPr="00C67395" w:rsidRDefault="00C67395" w:rsidP="00C673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7395">
        <w:rPr>
          <w:rFonts w:ascii="Times New Roman" w:hAnsi="Times New Roman" w:cs="Times New Roman"/>
          <w:sz w:val="28"/>
          <w:szCs w:val="28"/>
        </w:rPr>
        <w:t>МОН України прискіпливо стежить за процедурою надання грифів навчальній літературі для ВНЗ. Рекомендацію Міністерства для використання підручників в українських вищих навчальних закладах отримує лише найкраща фахова навчальна література.</w:t>
      </w:r>
    </w:p>
    <w:p w:rsidR="00000000" w:rsidRDefault="00C67395" w:rsidP="00C673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7395">
        <w:rPr>
          <w:rFonts w:ascii="Times New Roman" w:hAnsi="Times New Roman" w:cs="Times New Roman"/>
          <w:sz w:val="28"/>
          <w:szCs w:val="28"/>
        </w:rPr>
        <w:t>Завданням професорсько-викладацького складу ВФЕУ на перспективу є підготовка публікацій, що мають виняткове значення для розвитку навчально-виховного процесу, видання з грифом МОН навчальних посібників з основних фахових дисциплін і авторських курсів лекцій, що викладаються в університеті.</w:t>
      </w:r>
    </w:p>
    <w:p w:rsidR="00C67395" w:rsidRDefault="00C67395" w:rsidP="00C673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7395" w:rsidRDefault="00C67395" w:rsidP="00C67395">
      <w:pPr>
        <w:spacing w:after="0"/>
        <w:ind w:firstLine="708"/>
        <w:jc w:val="both"/>
        <w:rPr>
          <w:rFonts w:ascii="Helvetica" w:hAnsi="Helvetica" w:cs="Helvetica"/>
          <w:b/>
          <w:bCs/>
          <w:i/>
          <w:iCs/>
          <w:color w:val="000000"/>
          <w:sz w:val="29"/>
          <w:szCs w:val="29"/>
          <w:shd w:val="clear" w:color="auto" w:fill="FFFFFF"/>
        </w:rPr>
      </w:pPr>
      <w:r>
        <w:rPr>
          <w:rFonts w:ascii="Helvetica" w:hAnsi="Helvetica" w:cs="Helvetica"/>
          <w:b/>
          <w:bCs/>
          <w:i/>
          <w:iCs/>
          <w:color w:val="000000"/>
          <w:sz w:val="29"/>
          <w:szCs w:val="29"/>
          <w:shd w:val="clear" w:color="auto" w:fill="FFFFFF"/>
        </w:rPr>
        <w:t>Б.С. Кругляк, Т.П. Бондар, О.Б. Зайцева, А.І. Ковальов, Г.В. Скиба. Економічний аналіз підприємств: Навчальний посібник для студентів вищих навчальних закладів. - Хмельницький, 2004. - 420с.</w:t>
      </w:r>
    </w:p>
    <w:p w:rsidR="00C67395" w:rsidRDefault="00C67395" w:rsidP="00C67395">
      <w:pPr>
        <w:spacing w:after="0"/>
        <w:ind w:firstLine="708"/>
        <w:jc w:val="both"/>
        <w:rPr>
          <w:rFonts w:ascii="Helvetica" w:hAnsi="Helvetica" w:cs="Helvetica"/>
          <w:b/>
          <w:bCs/>
          <w:i/>
          <w:iCs/>
          <w:color w:val="000000"/>
          <w:sz w:val="29"/>
          <w:szCs w:val="29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28825" cy="2940326"/>
            <wp:effectExtent l="171450" t="133350" r="371475" b="298174"/>
            <wp:docPr id="1" name="Рисунок 0" descr="swscan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wscan1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9403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67395" w:rsidRDefault="00C67395" w:rsidP="00C67395">
      <w:pPr>
        <w:spacing w:after="0"/>
        <w:ind w:firstLine="708"/>
        <w:jc w:val="both"/>
        <w:rPr>
          <w:rFonts w:ascii="Helvetica" w:hAnsi="Helvetica" w:cs="Helvetica"/>
          <w:b/>
          <w:bCs/>
          <w:i/>
          <w:iCs/>
          <w:color w:val="000000"/>
          <w:sz w:val="29"/>
          <w:szCs w:val="29"/>
          <w:shd w:val="clear" w:color="auto" w:fill="FFFFFF"/>
        </w:rPr>
      </w:pPr>
    </w:p>
    <w:p w:rsidR="00C67395" w:rsidRDefault="00C67395" w:rsidP="00C67395">
      <w:pPr>
        <w:spacing w:after="0"/>
        <w:ind w:firstLine="708"/>
        <w:jc w:val="both"/>
        <w:rPr>
          <w:rFonts w:ascii="Helvetica" w:hAnsi="Helvetica" w:cs="Helvetica"/>
          <w:b/>
          <w:bCs/>
          <w:i/>
          <w:iCs/>
          <w:color w:val="000000"/>
          <w:sz w:val="29"/>
          <w:szCs w:val="29"/>
          <w:shd w:val="clear" w:color="auto" w:fill="FFFFFF"/>
        </w:rPr>
      </w:pPr>
    </w:p>
    <w:p w:rsidR="00C67395" w:rsidRDefault="00C67395" w:rsidP="00C67395">
      <w:pPr>
        <w:spacing w:after="0"/>
        <w:ind w:firstLine="708"/>
        <w:jc w:val="both"/>
        <w:rPr>
          <w:rFonts w:ascii="Helvetica" w:hAnsi="Helvetica" w:cs="Helvetica"/>
          <w:b/>
          <w:bCs/>
          <w:i/>
          <w:iCs/>
          <w:color w:val="000000"/>
          <w:sz w:val="29"/>
          <w:szCs w:val="29"/>
          <w:shd w:val="clear" w:color="auto" w:fill="FFFFFF"/>
        </w:rPr>
      </w:pPr>
    </w:p>
    <w:p w:rsidR="00C67395" w:rsidRDefault="00C67395" w:rsidP="00C67395">
      <w:pPr>
        <w:spacing w:after="0"/>
        <w:ind w:firstLine="708"/>
        <w:jc w:val="both"/>
        <w:rPr>
          <w:rFonts w:ascii="Helvetica" w:hAnsi="Helvetica" w:cs="Helvetica"/>
          <w:b/>
          <w:bCs/>
          <w:i/>
          <w:iCs/>
          <w:color w:val="000000"/>
          <w:sz w:val="29"/>
          <w:szCs w:val="29"/>
          <w:shd w:val="clear" w:color="auto" w:fill="FFFFFF"/>
        </w:rPr>
      </w:pPr>
    </w:p>
    <w:p w:rsidR="00C67395" w:rsidRDefault="00C67395" w:rsidP="00C67395">
      <w:pPr>
        <w:spacing w:after="0"/>
        <w:ind w:firstLine="708"/>
        <w:jc w:val="both"/>
        <w:rPr>
          <w:rFonts w:ascii="Helvetica" w:hAnsi="Helvetica" w:cs="Helvetica"/>
          <w:b/>
          <w:bCs/>
          <w:i/>
          <w:iCs/>
          <w:color w:val="000000"/>
          <w:sz w:val="29"/>
          <w:szCs w:val="29"/>
          <w:shd w:val="clear" w:color="auto" w:fill="FFFFFF"/>
        </w:rPr>
      </w:pPr>
      <w:r>
        <w:rPr>
          <w:rFonts w:ascii="Helvetica" w:hAnsi="Helvetica" w:cs="Helvetica"/>
          <w:b/>
          <w:bCs/>
          <w:i/>
          <w:iCs/>
          <w:color w:val="000000"/>
          <w:sz w:val="29"/>
          <w:szCs w:val="29"/>
          <w:shd w:val="clear" w:color="auto" w:fill="FFFFFF"/>
        </w:rPr>
        <w:t>Б.С. Кругляк. Бухгалтерський облік на підприємствах: Навчальний посібник. - Хмельницький, 2006.</w:t>
      </w:r>
    </w:p>
    <w:p w:rsidR="00C67395" w:rsidRDefault="00C67395" w:rsidP="00C67395">
      <w:pPr>
        <w:spacing w:after="0"/>
        <w:ind w:firstLine="708"/>
        <w:jc w:val="both"/>
        <w:rPr>
          <w:rFonts w:ascii="Helvetica" w:hAnsi="Helvetica" w:cs="Helvetica"/>
          <w:b/>
          <w:bCs/>
          <w:i/>
          <w:iCs/>
          <w:color w:val="000000"/>
          <w:sz w:val="29"/>
          <w:szCs w:val="29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42630" cy="2563661"/>
            <wp:effectExtent l="171450" t="133350" r="367170" b="312889"/>
            <wp:docPr id="3" name="Рисунок 1" descr="swscan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wscan1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41719" cy="25623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83999" w:rsidRDefault="003E7F8F" w:rsidP="00C67395">
      <w:pPr>
        <w:spacing w:after="0"/>
        <w:ind w:firstLine="708"/>
        <w:jc w:val="both"/>
        <w:rPr>
          <w:rFonts w:ascii="Helvetica" w:hAnsi="Helvetica" w:cs="Helvetica"/>
          <w:b/>
          <w:bCs/>
          <w:i/>
          <w:iCs/>
          <w:color w:val="000000"/>
          <w:sz w:val="29"/>
          <w:szCs w:val="29"/>
          <w:shd w:val="clear" w:color="auto" w:fill="FFFFFF"/>
        </w:rPr>
      </w:pPr>
      <w:r>
        <w:rPr>
          <w:rFonts w:ascii="Helvetica" w:hAnsi="Helvetica" w:cs="Helvetica"/>
          <w:b/>
          <w:bCs/>
          <w:i/>
          <w:iCs/>
          <w:color w:val="000000"/>
          <w:sz w:val="29"/>
          <w:szCs w:val="29"/>
          <w:shd w:val="clear" w:color="auto" w:fill="FFFFFF"/>
        </w:rPr>
        <w:t xml:space="preserve">В.В. </w:t>
      </w:r>
      <w:proofErr w:type="spellStart"/>
      <w:r>
        <w:rPr>
          <w:rFonts w:ascii="Helvetica" w:hAnsi="Helvetica" w:cs="Helvetica"/>
          <w:b/>
          <w:bCs/>
          <w:i/>
          <w:iCs/>
          <w:color w:val="000000"/>
          <w:sz w:val="29"/>
          <w:szCs w:val="29"/>
          <w:shd w:val="clear" w:color="auto" w:fill="FFFFFF"/>
        </w:rPr>
        <w:t>Боковець</w:t>
      </w:r>
      <w:proofErr w:type="spellEnd"/>
      <w:r>
        <w:rPr>
          <w:rFonts w:ascii="Helvetica" w:hAnsi="Helvetica" w:cs="Helvetica"/>
          <w:b/>
          <w:bCs/>
          <w:i/>
          <w:iCs/>
          <w:color w:val="000000"/>
          <w:sz w:val="29"/>
          <w:szCs w:val="29"/>
          <w:shd w:val="clear" w:color="auto" w:fill="FFFFFF"/>
        </w:rPr>
        <w:t>, І.В. Левицька. Інноваційний менеджмент: Навчальний посібник для студентів економічних спеціальностей. - Вінниця: ВФЕУ, 2013</w:t>
      </w:r>
    </w:p>
    <w:p w:rsidR="003E7F8F" w:rsidRDefault="003E7F8F" w:rsidP="00C67395">
      <w:pPr>
        <w:spacing w:after="0"/>
        <w:ind w:firstLine="708"/>
        <w:jc w:val="both"/>
        <w:rPr>
          <w:rStyle w:val="a5"/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b/>
          <w:bCs/>
          <w:noProof/>
          <w:sz w:val="28"/>
          <w:szCs w:val="28"/>
        </w:rPr>
        <w:drawing>
          <wp:inline distT="0" distB="0" distL="0" distR="0">
            <wp:extent cx="1802586" cy="2645997"/>
            <wp:effectExtent l="19050" t="0" r="7164" b="0"/>
            <wp:docPr id="7" name="Рисунок 6" descr="swscan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wscan14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03662" cy="264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F8F" w:rsidRDefault="003E7F8F" w:rsidP="00C67395">
      <w:pPr>
        <w:spacing w:after="0"/>
        <w:ind w:firstLine="708"/>
        <w:jc w:val="both"/>
        <w:rPr>
          <w:rFonts w:ascii="Helvetica" w:hAnsi="Helvetica" w:cs="Helvetica"/>
          <w:b/>
          <w:bCs/>
          <w:i/>
          <w:iCs/>
          <w:color w:val="000000"/>
          <w:sz w:val="29"/>
          <w:szCs w:val="29"/>
          <w:shd w:val="clear" w:color="auto" w:fill="FFFFFF"/>
        </w:rPr>
      </w:pPr>
      <w:r>
        <w:rPr>
          <w:rFonts w:ascii="Helvetica" w:hAnsi="Helvetica" w:cs="Helvetica"/>
          <w:b/>
          <w:bCs/>
          <w:i/>
          <w:iCs/>
          <w:color w:val="000000"/>
          <w:sz w:val="29"/>
          <w:szCs w:val="29"/>
          <w:shd w:val="clear" w:color="auto" w:fill="FFFFFF"/>
        </w:rPr>
        <w:t xml:space="preserve">М.Г. </w:t>
      </w:r>
      <w:proofErr w:type="spellStart"/>
      <w:r>
        <w:rPr>
          <w:rFonts w:ascii="Helvetica" w:hAnsi="Helvetica" w:cs="Helvetica"/>
          <w:b/>
          <w:bCs/>
          <w:i/>
          <w:iCs/>
          <w:color w:val="000000"/>
          <w:sz w:val="29"/>
          <w:szCs w:val="29"/>
          <w:shd w:val="clear" w:color="auto" w:fill="FFFFFF"/>
        </w:rPr>
        <w:t>Акулов</w:t>
      </w:r>
      <w:proofErr w:type="spellEnd"/>
      <w:r>
        <w:rPr>
          <w:rFonts w:ascii="Helvetica" w:hAnsi="Helvetica" w:cs="Helvetica"/>
          <w:b/>
          <w:bCs/>
          <w:i/>
          <w:iCs/>
          <w:color w:val="000000"/>
          <w:sz w:val="29"/>
          <w:szCs w:val="29"/>
          <w:shd w:val="clear" w:color="auto" w:fill="FFFFFF"/>
        </w:rPr>
        <w:t xml:space="preserve">. Сучасні економічні теорії: Навчальний посібник. - Вінниця: </w:t>
      </w:r>
      <w:proofErr w:type="spellStart"/>
      <w:r>
        <w:rPr>
          <w:rFonts w:ascii="Helvetica" w:hAnsi="Helvetica" w:cs="Helvetica"/>
          <w:b/>
          <w:bCs/>
          <w:i/>
          <w:iCs/>
          <w:color w:val="000000"/>
          <w:sz w:val="29"/>
          <w:szCs w:val="29"/>
          <w:shd w:val="clear" w:color="auto" w:fill="FFFFFF"/>
        </w:rPr>
        <w:t>Нілан-ЛТД</w:t>
      </w:r>
      <w:proofErr w:type="spellEnd"/>
      <w:r>
        <w:rPr>
          <w:rFonts w:ascii="Helvetica" w:hAnsi="Helvetica" w:cs="Helvetica"/>
          <w:b/>
          <w:bCs/>
          <w:i/>
          <w:iCs/>
          <w:color w:val="000000"/>
          <w:sz w:val="29"/>
          <w:szCs w:val="29"/>
          <w:shd w:val="clear" w:color="auto" w:fill="FFFFFF"/>
        </w:rPr>
        <w:t>, 2013. - 394с.</w:t>
      </w:r>
    </w:p>
    <w:p w:rsidR="003E7F8F" w:rsidRDefault="003E7F8F" w:rsidP="00C67395">
      <w:pPr>
        <w:spacing w:after="0"/>
        <w:ind w:firstLine="708"/>
        <w:jc w:val="both"/>
        <w:rPr>
          <w:rStyle w:val="a5"/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b/>
          <w:bCs/>
          <w:noProof/>
          <w:sz w:val="28"/>
          <w:szCs w:val="28"/>
        </w:rPr>
        <w:drawing>
          <wp:inline distT="0" distB="0" distL="0" distR="0">
            <wp:extent cx="1356146" cy="1893395"/>
            <wp:effectExtent l="190500" t="152400" r="167854" b="125905"/>
            <wp:docPr id="10" name="Рисунок 9" descr="swscan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wscan5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57413" cy="18951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83999" w:rsidRPr="00683999" w:rsidRDefault="003E7F8F" w:rsidP="00C673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 w:cs="Courier New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186939" cy="3140712"/>
            <wp:effectExtent l="19050" t="0" r="0" b="0"/>
            <wp:docPr id="9" name="Рисунок 7" descr="metodotdel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todotdel-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91787" cy="31436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683999" w:rsidRPr="00683999" w:rsidSect="00C67395">
      <w:pgSz w:w="11906" w:h="16838"/>
      <w:pgMar w:top="850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33549"/>
    <w:rsid w:val="00233549"/>
    <w:rsid w:val="003E7F8F"/>
    <w:rsid w:val="00683999"/>
    <w:rsid w:val="00C67395"/>
    <w:rsid w:val="00F71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673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6739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alloon Text"/>
    <w:basedOn w:val="a"/>
    <w:link w:val="a4"/>
    <w:uiPriority w:val="99"/>
    <w:semiHidden/>
    <w:unhideWhenUsed/>
    <w:rsid w:val="00C67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39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6839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6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921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2026-03-23T13:32:00Z</dcterms:created>
  <dcterms:modified xsi:type="dcterms:W3CDTF">2026-03-23T13:32:00Z</dcterms:modified>
</cp:coreProperties>
</file>